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4D" w:rsidRPr="00ED739F" w:rsidRDefault="002D3C4D" w:rsidP="002D3C4D">
      <w:pPr>
        <w:pStyle w:val="ConsPlusTitlePage"/>
        <w:jc w:val="center"/>
        <w:rPr>
          <w:rFonts w:ascii="Times New Roman" w:hAnsi="Times New Roman" w:cs="Times New Roman"/>
          <w:sz w:val="40"/>
          <w:szCs w:val="40"/>
        </w:rPr>
      </w:pPr>
      <w:r w:rsidRPr="00ED739F">
        <w:rPr>
          <w:rFonts w:ascii="Times New Roman" w:hAnsi="Times New Roman" w:cs="Times New Roman"/>
          <w:sz w:val="40"/>
          <w:szCs w:val="40"/>
        </w:rPr>
        <w:t>Уважаемые плательщики страховых взносов!</w:t>
      </w:r>
    </w:p>
    <w:p w:rsidR="002D3C4D" w:rsidRPr="002D3C4D" w:rsidRDefault="002D3C4D" w:rsidP="002D3C4D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</w:p>
    <w:p w:rsidR="002D3C4D" w:rsidRPr="00105647" w:rsidRDefault="00ED739F" w:rsidP="002D3C4D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Межрайонная ИФНС России № 4 по Алтайскому краю напоминает, что п</w:t>
      </w:r>
      <w:r w:rsidR="002D3C4D" w:rsidRPr="00105647">
        <w:rPr>
          <w:sz w:val="28"/>
          <w:szCs w:val="28"/>
        </w:rPr>
        <w:t>ри заполнении платежных документов во избежание ошибочного направления платежа следует помнить о необходимости правильного заполнения всех полей платежного документа.</w:t>
      </w:r>
    </w:p>
    <w:p w:rsidR="002D3C4D" w:rsidRDefault="002D3C4D" w:rsidP="002D3C4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647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важно правильно указать получателя платежа – ИНН и КПП налогового органа и расчетный счет получателя. </w:t>
      </w:r>
    </w:p>
    <w:p w:rsidR="00ED739F" w:rsidRPr="00ED739F" w:rsidRDefault="00ED739F" w:rsidP="00ED739F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ED739F">
        <w:rPr>
          <w:sz w:val="28"/>
          <w:szCs w:val="28"/>
        </w:rPr>
        <w:t>Получатель: ИНН 2208012087/ КПП 220801001, Управление Федерального казначейства по Алтайскому краю (</w:t>
      </w:r>
      <w:proofErr w:type="gramStart"/>
      <w:r w:rsidRPr="00ED739F">
        <w:rPr>
          <w:sz w:val="28"/>
          <w:szCs w:val="28"/>
        </w:rPr>
        <w:t>Межрайонная</w:t>
      </w:r>
      <w:proofErr w:type="gramEnd"/>
      <w:r w:rsidRPr="00ED739F">
        <w:rPr>
          <w:sz w:val="28"/>
          <w:szCs w:val="28"/>
        </w:rPr>
        <w:t xml:space="preserve"> ИФНС России № 4 по Алтайскому краю)</w:t>
      </w:r>
      <w:bookmarkStart w:id="0" w:name="_GoBack"/>
      <w:bookmarkEnd w:id="0"/>
    </w:p>
    <w:p w:rsidR="00ED739F" w:rsidRPr="00ED739F" w:rsidRDefault="00ED739F" w:rsidP="00ED739F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ED739F">
        <w:rPr>
          <w:sz w:val="28"/>
          <w:szCs w:val="28"/>
        </w:rPr>
        <w:t xml:space="preserve">Банк получателя:  - Отделение Барнаул г. Барнаул;  БИК 040173001 </w:t>
      </w:r>
      <w:r w:rsidRPr="00ED739F">
        <w:rPr>
          <w:sz w:val="28"/>
          <w:szCs w:val="28"/>
        </w:rPr>
        <w:tab/>
        <w:t xml:space="preserve">  </w:t>
      </w:r>
    </w:p>
    <w:p w:rsidR="00ED739F" w:rsidRPr="00ED739F" w:rsidRDefault="00ED739F" w:rsidP="00ED739F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ED739F">
        <w:rPr>
          <w:sz w:val="28"/>
          <w:szCs w:val="28"/>
        </w:rPr>
        <w:t>Расчетный счет: 40101810100000010001</w:t>
      </w:r>
    </w:p>
    <w:p w:rsidR="00ED739F" w:rsidRDefault="00ED739F" w:rsidP="00ED739F">
      <w:pPr>
        <w:pStyle w:val="aa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ED739F">
        <w:rPr>
          <w:sz w:val="28"/>
          <w:szCs w:val="28"/>
        </w:rPr>
        <w:t>ОКТМО: указывается код муниципального образования, на территории которого зарегистрирован налогоплательщик</w:t>
      </w:r>
      <w:r>
        <w:rPr>
          <w:sz w:val="28"/>
          <w:szCs w:val="28"/>
        </w:rPr>
        <w:t>.</w:t>
      </w:r>
    </w:p>
    <w:p w:rsidR="00ED739F" w:rsidRDefault="00ED739F" w:rsidP="00ED739F">
      <w:pPr>
        <w:pStyle w:val="aa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D739F">
        <w:rPr>
          <w:sz w:val="28"/>
          <w:szCs w:val="28"/>
        </w:rPr>
        <w:t>Напоминаем, что уплата страховых взносов производится организациями в налоговые органы по месту их нахождения и по месту нахождения обособленных подразделений; индивидуальными предпринимателями - по месту жительства.</w:t>
      </w:r>
    </w:p>
    <w:p w:rsidR="002D3C4D" w:rsidRPr="00105647" w:rsidRDefault="002D3C4D" w:rsidP="002D3C4D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>Платежные реквизиты налоговых органов можно уточнить с помощью сервиса «</w:t>
      </w:r>
      <w:hyperlink r:id="rId8" w:history="1">
        <w:r w:rsidRPr="00105647">
          <w:rPr>
            <w:sz w:val="28"/>
            <w:szCs w:val="28"/>
          </w:rPr>
          <w:t>Адрес и платежные реквизиты Вашей инспекции</w:t>
        </w:r>
      </w:hyperlink>
      <w:r w:rsidRPr="00105647">
        <w:rPr>
          <w:sz w:val="28"/>
          <w:szCs w:val="28"/>
        </w:rPr>
        <w:t>» (https://service.nalog.ru/addrno.do) либо на странице сайта «Реквизиты для заполнения отчетности и расчетных документов» (https://www.nalog.ru/rn22/taxation/submission_statements/rekvizit/).</w:t>
      </w:r>
    </w:p>
    <w:p w:rsidR="00334E94" w:rsidRDefault="00334E94" w:rsidP="00334E94">
      <w:pPr>
        <w:tabs>
          <w:tab w:val="left" w:pos="3960"/>
        </w:tabs>
      </w:pPr>
    </w:p>
    <w:p w:rsidR="00ED739F" w:rsidRPr="00ED739F" w:rsidRDefault="00ED739F" w:rsidP="00334E94">
      <w:pPr>
        <w:tabs>
          <w:tab w:val="left" w:pos="3960"/>
        </w:tabs>
        <w:rPr>
          <w:sz w:val="28"/>
          <w:szCs w:val="28"/>
        </w:rPr>
        <w:sectPr w:rsidR="00ED739F" w:rsidRPr="00ED739F" w:rsidSect="00105647">
          <w:pgSz w:w="11907" w:h="16839" w:code="9"/>
          <w:pgMar w:top="426" w:right="567" w:bottom="567" w:left="567" w:header="720" w:footer="720" w:gutter="0"/>
          <w:cols w:space="720"/>
          <w:noEndnote/>
          <w:docGrid w:linePitch="326"/>
        </w:sectPr>
      </w:pPr>
      <w:r w:rsidRPr="00ED739F">
        <w:rPr>
          <w:sz w:val="32"/>
          <w:szCs w:val="32"/>
        </w:rPr>
        <w:t xml:space="preserve">        </w:t>
      </w:r>
    </w:p>
    <w:tbl>
      <w:tblPr>
        <w:tblW w:w="0" w:type="auto"/>
        <w:tblInd w:w="2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571EA9" w:rsidTr="007F0D8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20"/>
                <w:szCs w:val="20"/>
              </w:rPr>
            </w:pPr>
          </w:p>
          <w:p w:rsidR="00334E94" w:rsidRDefault="00ED739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046" style="position:absolute;left:0;text-align:left;margin-left:-126.5pt;margin-top:8.1pt;width:825.8pt;height:548.05pt;z-index:251671552" coordorigin="184,640" coordsize="16516,10961">
                  <v:shapetype id="_x0000_t44" coordsize="21600,21600" o:spt="44" adj="-8280,24300,-1800,4050" path="m@0@1l@2@3nfem@2,l@2,21600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 textborder="f"/>
                  </v:shapetype>
                  <v:shape id="_x0000_s1027" type="#_x0000_t44" style="position:absolute;left:13205;top:640;width:3475;height:2109" adj="-2437,7374,-746,1844,-10256,7692,-9429,8603">
                    <v:textbox style="mso-next-textbox:#_x0000_s1027">
                      <w:txbxContent>
                        <w:p w:rsidR="00B13E39" w:rsidRPr="00485E9A" w:rsidRDefault="00B13E39" w:rsidP="006E68F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В поле 101 </w:t>
                          </w:r>
                          <w:r w:rsidRPr="00485E9A">
                            <w:rPr>
                              <w:b/>
                              <w:sz w:val="20"/>
                              <w:szCs w:val="20"/>
                            </w:rPr>
                            <w:t>«Статус плательщика»</w:t>
                          </w:r>
                          <w:r w:rsidRPr="00DE416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5E9A">
                            <w:rPr>
                              <w:sz w:val="20"/>
                              <w:szCs w:val="20"/>
                            </w:rPr>
                            <w:t>указывается:</w:t>
                          </w:r>
                        </w:p>
                        <w:p w:rsidR="00B13E39" w:rsidRPr="00485E9A" w:rsidRDefault="00B13E39" w:rsidP="006E68FF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proofErr w:type="gramStart"/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по</w:t>
                          </w:r>
                          <w:proofErr w:type="gramEnd"/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ЮЛ</w:t>
                          </w:r>
                          <w:proofErr w:type="gramEnd"/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производящим выплаты физическим лицам, - "01";</w:t>
                          </w:r>
                        </w:p>
                        <w:p w:rsidR="00B13E39" w:rsidRPr="00485E9A" w:rsidRDefault="00B13E39" w:rsidP="006E68FF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по 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ИП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"09", "10", "11" и "12";</w:t>
                          </w:r>
                        </w:p>
                        <w:p w:rsidR="00B13E39" w:rsidRDefault="00B13E39" w:rsidP="006E68FF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по 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ФЛ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"13".</w:t>
                          </w:r>
                        </w:p>
                        <w:p w:rsidR="00B13E39" w:rsidRDefault="00B13E39" w:rsidP="00AA6E2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E4160">
                            <w:rPr>
                              <w:sz w:val="20"/>
                              <w:szCs w:val="20"/>
                            </w:rPr>
                            <w:t xml:space="preserve"> (</w:t>
                          </w:r>
                          <w:hyperlink r:id="rId9" w:history="1">
                            <w:r w:rsidRPr="00DE4160">
                              <w:rPr>
                                <w:sz w:val="20"/>
                                <w:szCs w:val="20"/>
                              </w:rPr>
                              <w:t>Приложение N 5</w:t>
                            </w:r>
                          </w:hyperlink>
                          <w:r w:rsidRPr="00DE4160">
                            <w:rPr>
                              <w:sz w:val="20"/>
                              <w:szCs w:val="20"/>
                            </w:rPr>
                            <w:t xml:space="preserve"> к Приказу Минфина от 12.11.2013 N 107н).</w:t>
                          </w:r>
                        </w:p>
                        <w:p w:rsidR="00B13E39" w:rsidRPr="007F0D89" w:rsidRDefault="00B13E39" w:rsidP="006E68F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13E39" w:rsidRPr="00DE4160" w:rsidRDefault="00B13E39" w:rsidP="00485E9A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13E39" w:rsidRPr="00485E9A" w:rsidRDefault="00B13E39" w:rsidP="00485E9A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</w:p>
                        <w:p w:rsidR="00B13E39" w:rsidRPr="00DE4160" w:rsidRDefault="00B13E39" w:rsidP="00DE4160"/>
                      </w:txbxContent>
                    </v:textbox>
                    <o:callout v:ext="edit" minusy="t"/>
                  </v:shape>
                  <v:shape id="_x0000_s1030" type="#_x0000_t44" style="position:absolute;left:13200;top:6607;width:3149;height:2714" adj="-2826,1433,-823,1433,-18554,43463,-17642,44171">
                    <v:textbox style="mso-next-textbox:#_x0000_s1030">
                      <w:txbxContent>
                        <w:p w:rsidR="00B13E39" w:rsidRDefault="00B13E39" w:rsidP="00350600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Поле </w:t>
                          </w:r>
                          <w:r w:rsidRPr="00350600">
                            <w:rPr>
                              <w:b/>
                              <w:sz w:val="20"/>
                              <w:szCs w:val="20"/>
                            </w:rPr>
                            <w:t>«Очередность платежа»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заполняется в соответствии с п.2 ст. 855 ГК РФ. Платежи в бюджет по поручениям налоговых органов  подлежат исполнению банком в третью очередь, а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платежи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производимые на основании платежных распоряжений налогоплательщика, - в пятую очередь.</w:t>
                          </w:r>
                        </w:p>
                        <w:p w:rsidR="00B13E39" w:rsidRDefault="00B13E39"/>
                      </w:txbxContent>
                    </v:textbox>
                  </v:shape>
                  <v:shape id="_x0000_s1033" type="#_x0000_t44" style="position:absolute;left:184;top:1971;width:2205;height:2685" adj="25420,42741,22776,1448,23824,68332,25127,69048">
                    <v:textbox style="mso-next-textbox:#_x0000_s1033">
                      <w:txbxContent>
                        <w:p w:rsidR="00B13E39" w:rsidRDefault="00B13E39" w:rsidP="00CC0888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В </w:t>
                          </w:r>
                          <w:hyperlink r:id="rId10" w:history="1">
                            <w:r w:rsidRPr="00CC0888">
                              <w:rPr>
                                <w:sz w:val="20"/>
                                <w:szCs w:val="20"/>
                              </w:rPr>
                              <w:t>поле 104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 указывается </w:t>
                          </w:r>
                          <w:hyperlink r:id="rId11" w:history="1">
                            <w:r w:rsidRPr="00D751ED">
                              <w:rPr>
                                <w:b/>
                                <w:sz w:val="20"/>
                                <w:szCs w:val="20"/>
                              </w:rPr>
                              <w:t>КБК</w:t>
                            </w:r>
                          </w:hyperlink>
                          <w:r w:rsidRPr="00D751ED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страховых взносов</w:t>
                          </w:r>
                        </w:p>
                        <w:p w:rsidR="00B13E39" w:rsidRDefault="00B13E39" w:rsidP="00CC0888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Сопоставительная таблица видов доходов по страховым взносам размещена на сайте ФНС России (</w:t>
                          </w:r>
                          <w:r w:rsidRPr="00955ED9">
                            <w:rPr>
                              <w:sz w:val="20"/>
                              <w:szCs w:val="20"/>
                            </w:rPr>
                            <w:t>https://www.nalog.ru/rn22/taxation/insprem/</w:t>
                          </w: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  <o:callout v:ext="edit" minusx="t" minusy="t"/>
                  </v:shape>
                  <v:shape id="_x0000_s1034" type="#_x0000_t44" style="position:absolute;left:13200;top:3171;width:3500;height:1170" adj="-18699,60369,-741,3323,-19520,58726,-18699,60369">
                    <v:textbox style="mso-next-textbox:#_x0000_s1034">
                      <w:txbxContent>
                        <w:p w:rsidR="00B13E39" w:rsidRDefault="00B13E39" w:rsidP="002D5275">
                          <w:pPr>
                            <w:widowControl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В поле </w:t>
                          </w:r>
                          <w:r w:rsidRPr="006E68FF">
                            <w:rPr>
                              <w:b/>
                              <w:sz w:val="20"/>
                              <w:szCs w:val="20"/>
                            </w:rPr>
                            <w:t>«Вид операции»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у</w:t>
                          </w:r>
                          <w:r w:rsidRPr="006E68FF">
                            <w:rPr>
                              <w:sz w:val="20"/>
                              <w:szCs w:val="20"/>
                            </w:rPr>
                            <w:t xml:space="preserve">казывается шифр платежного поручения - 01, инкассового поручения - 06, платежного требования - 02 </w:t>
                          </w:r>
                        </w:p>
                      </w:txbxContent>
                    </v:textbox>
                    <o:callout v:ext="edit" minusy="t"/>
                  </v:shape>
                  <v:shape id="_x0000_s1035" type="#_x0000_t44" style="position:absolute;left:13210;top:4491;width:3490;height:1755" adj="-18444,31200,-743,2215,-19267,30105,-18444,31200">
                    <v:textbox style="mso-next-textbox:#_x0000_s1035">
                      <w:txbxContent>
                        <w:p w:rsidR="00B13E39" w:rsidRDefault="00B13E39" w:rsidP="00AA6E20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В поле </w:t>
                          </w:r>
                          <w:r w:rsidRPr="0072562C">
                            <w:rPr>
                              <w:b/>
                              <w:sz w:val="20"/>
                            </w:rPr>
                            <w:t>«Код»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указывается уникальный идентификатор платежа:</w:t>
                          </w:r>
                        </w:p>
                        <w:p w:rsidR="00B13E39" w:rsidRPr="00AA6E20" w:rsidRDefault="00B13E39" w:rsidP="00AA6E20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 w:rsidRPr="00AA6E20">
                            <w:rPr>
                              <w:sz w:val="20"/>
                              <w:szCs w:val="20"/>
                            </w:rPr>
                            <w:t>- текущий платеж - "0"</w:t>
                          </w:r>
                        </w:p>
                        <w:p w:rsidR="00B13E39" w:rsidRPr="00AA6E20" w:rsidRDefault="00B13E39" w:rsidP="00AA6E20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hyperlink r:id="rId12" w:history="1">
                            <w:r w:rsidRPr="006E68FF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недоимка</w:t>
                            </w:r>
                          </w:hyperlink>
                          <w:r w:rsidRPr="006E68FF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пени, штраф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по </w:t>
                          </w:r>
                          <w:hyperlink r:id="rId13" w:history="1">
                            <w:r w:rsidRPr="00AA6E20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требованию</w:t>
                            </w:r>
                          </w:hyperlink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ИФНС, где указан </w:t>
                          </w:r>
                          <w:hyperlink r:id="rId14" w:history="1">
                            <w:r w:rsidRPr="00AA6E20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УИН</w:t>
                            </w:r>
                          </w:hyperlink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- УИН из требования</w:t>
                          </w:r>
                        </w:p>
                        <w:p w:rsidR="00B13E39" w:rsidRPr="00AA6E20" w:rsidRDefault="00B13E39" w:rsidP="00AA6E20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в остальных случаях - "0"</w:t>
                          </w:r>
                        </w:p>
                        <w:p w:rsidR="00B13E39" w:rsidRDefault="00B13E39"/>
                      </w:txbxContent>
                    </v:textbox>
                    <o:callout v:ext="edit" minusy="t"/>
                  </v:shape>
                  <v:shape id="_x0000_s1036" type="#_x0000_t44" style="position:absolute;left:184;top:4830;width:2205;height:2880" adj="50508,19170,22776,1350,49205,18503,50508,19170">
                    <v:textbox style="mso-next-textbox:#_x0000_s1036">
                      <w:txbxContent>
                        <w:p w:rsidR="00B13E39" w:rsidRPr="00AA6E20" w:rsidRDefault="00B13E39" w:rsidP="00AA6E20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</w:t>
                          </w:r>
                          <w:hyperlink r:id="rId15" w:history="1">
                            <w:r w:rsidRPr="00AA6E20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поле 105</w:t>
                            </w:r>
                          </w:hyperlink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указывается </w:t>
                          </w:r>
                          <w:r w:rsidRPr="00D751ED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ОКТМО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по адресу 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ЮЛ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ОП или недвижимости в зависимости от места взносов. Узна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ть код можно с помощью сервиса «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Узн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ай ОКТМО» на сайте ФНС  России (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https://www.nalog.ru/rn22/service/oktmo/)</w:t>
                          </w:r>
                        </w:p>
                        <w:p w:rsidR="00B13E39" w:rsidRDefault="00B13E39" w:rsidP="00AA6E20">
                          <w:pPr>
                            <w:pStyle w:val="ConsPlusNormal"/>
                            <w:jc w:val="both"/>
                          </w:pPr>
                        </w:p>
                        <w:p w:rsidR="00B13E39" w:rsidRDefault="00B13E39"/>
                      </w:txbxContent>
                    </v:textbox>
                    <o:callout v:ext="edit" minusx="t" minusy="t"/>
                  </v:shape>
                  <v:shapetype id="_x0000_t45" coordsize="21600,21600" o:spt="45" adj="-10080,24300,-3600,4050,-1800,4050" path="m@0@1l@2@3@4@5nfem@4,l@4,21600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 accentbar="t" textborder="f"/>
                  </v:shapetype>
                  <v:shape id="_x0000_s1041" type="#_x0000_t45" style="position:absolute;left:2640;top:9396;width:5190;height:2205" adj="25454,-18955,22903,1763,22099,1763,30885,-17045">
                    <v:textbox style="mso-next-textbox:#_x0000_s1041">
                      <w:txbxContent>
                        <w:p w:rsidR="00B13E39" w:rsidRPr="007D6663" w:rsidRDefault="00B13E39" w:rsidP="002D5275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</w:t>
                          </w:r>
                          <w:hyperlink r:id="rId16" w:history="1">
                            <w:r w:rsidRPr="007D6663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поле 107</w:t>
                            </w:r>
                          </w:hyperlink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</w:t>
                          </w:r>
                          <w:r w:rsidRPr="00583830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«Период»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 xml:space="preserve"> 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указывается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:</w:t>
                          </w:r>
                        </w:p>
                        <w:p w:rsidR="00B13E39" w:rsidRPr="002D5275" w:rsidRDefault="00B13E39" w:rsidP="002D5275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ТП или ЗД - период, за который платите </w:t>
                          </w:r>
                          <w:hyperlink r:id="rId17" w:history="1">
                            <w:r w:rsidRPr="007D6663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взносы</w:t>
                            </w:r>
                          </w:hyperlink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, в формате ХХ.YY.ГГГГ. ХХ - периодичность уплаты: месяц - МС, квартал - КВ, полугодие - </w:t>
                          </w:r>
                          <w:proofErr w:type="gramStart"/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ПЛ</w:t>
                          </w:r>
                          <w:proofErr w:type="gramEnd"/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год - ГД. YY - период уплаты:</w:t>
                          </w:r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номер месяца от 01 до 12, квартала от 01 до 04, полугодия 01 или 02, годовой платеж - 00. ГГГГ - год. </w:t>
                          </w:r>
                        </w:p>
                        <w:p w:rsidR="00B13E39" w:rsidRPr="002D5275" w:rsidRDefault="00B13E39" w:rsidP="002D5275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</w:t>
                          </w:r>
                          <w:proofErr w:type="gramStart"/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ТР</w:t>
                          </w:r>
                          <w:proofErr w:type="gramEnd"/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дата уплаты налога или взноса по требованию</w:t>
                          </w:r>
                        </w:p>
                        <w:p w:rsidR="00B13E39" w:rsidRPr="00583830" w:rsidRDefault="00B13E39" w:rsidP="002D52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- для АП - </w:t>
                          </w:r>
                          <w:r w:rsidRPr="00583830">
                            <w:rPr>
                              <w:sz w:val="20"/>
                              <w:szCs w:val="20"/>
                            </w:rPr>
                            <w:t>"0"</w:t>
                          </w:r>
                        </w:p>
                      </w:txbxContent>
                    </v:textbox>
                    <o:callout v:ext="edit" minusx="t"/>
                  </v:shape>
                  <v:shape id="_x0000_s1042" type="#_x0000_t45" style="position:absolute;left:214;top:7836;width:2175;height:3420" adj="68038,-3032,45246,1137,22792,1137,68038,-3032">
                    <v:textbox style="mso-next-textbox:#_x0000_s1042">
                      <w:txbxContent>
                        <w:p w:rsidR="00B13E39" w:rsidRPr="009907A0" w:rsidRDefault="00B13E39" w:rsidP="00D82CFE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6137AB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поле 106 </w:t>
                          </w:r>
                          <w:r w:rsidRPr="0072562C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«Основание платежа»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 xml:space="preserve"> 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указывается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:</w:t>
                          </w:r>
                        </w:p>
                        <w:p w:rsidR="00B13E39" w:rsidRPr="00241A32" w:rsidRDefault="00B13E39" w:rsidP="00D82CFE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текущий платеж</w:t>
                          </w:r>
                          <w:r w:rsidRPr="00241A32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"ТП"</w:t>
                          </w:r>
                        </w:p>
                        <w:p w:rsidR="00B13E39" w:rsidRPr="006137AB" w:rsidRDefault="00B13E39" w:rsidP="00D82CFE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241A32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6137AB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недоимка - "ЗД"</w:t>
                          </w:r>
                        </w:p>
                        <w:p w:rsidR="00B13E39" w:rsidRPr="006137AB" w:rsidRDefault="00B13E39" w:rsidP="00D82CFE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6137AB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недоимка по требованию ИФНС - "ТР"</w:t>
                          </w:r>
                        </w:p>
                        <w:p w:rsidR="00B13E39" w:rsidRPr="00241A32" w:rsidRDefault="00B13E39" w:rsidP="00D82CF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41A32">
                            <w:rPr>
                              <w:sz w:val="20"/>
                              <w:szCs w:val="20"/>
                            </w:rPr>
                            <w:t>- недоимка по акту проверки до выставления ИФНС требования - "АП</w:t>
                          </w:r>
                          <w:r w:rsidRPr="00241A32">
                            <w:rPr>
                              <w:sz w:val="20"/>
                            </w:rPr>
                            <w:t>"</w:t>
                          </w:r>
                        </w:p>
                      </w:txbxContent>
                    </v:textbox>
                    <o:callout v:ext="edit" minusx="t"/>
                  </v:shape>
                  <v:shape id="_x0000_s1043" type="#_x0000_t45" style="position:absolute;left:8175;top:9531;width:2280;height:1830" adj="25011,-25141,23864,2125,22737,2125,22737,-23016">
                    <v:textbox style="mso-next-textbox:#_x0000_s1043">
                      <w:txbxContent>
                        <w:p w:rsidR="00B13E39" w:rsidRPr="00661F82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поле 108 </w:t>
                          </w:r>
                          <w:r w:rsidRPr="00661F82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«Номер документа»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:</w:t>
                          </w:r>
                        </w:p>
                        <w:p w:rsidR="00B13E39" w:rsidRPr="00B23208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ТП или ЗД - "0"</w:t>
                          </w:r>
                        </w:p>
                        <w:p w:rsidR="00B13E39" w:rsidRPr="00B23208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</w:t>
                          </w:r>
                          <w:proofErr w:type="gramStart"/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ТР</w:t>
                          </w:r>
                          <w:proofErr w:type="gramEnd"/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номер требования</w:t>
                          </w:r>
                        </w:p>
                        <w:p w:rsidR="00B13E39" w:rsidRPr="00B23208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АП - номер решения по проверке</w:t>
                          </w:r>
                        </w:p>
                        <w:p w:rsidR="00B13E39" w:rsidRDefault="00B13E39"/>
                      </w:txbxContent>
                    </v:textbox>
                    <o:callout v:ext="edit" minusx="t"/>
                  </v:shape>
                  <v:shape id="_x0000_s1044" type="#_x0000_t45" style="position:absolute;left:11220;top:9531;width:4740;height:1830" adj="-1276,-25318,-1180,2125,-547,2125,-1823,-25318">
                    <v:textbox style="mso-next-textbox:#_x0000_s1044">
                      <w:txbxContent>
                        <w:p w:rsidR="00B13E39" w:rsidRPr="00BB0F29" w:rsidRDefault="00B13E39" w:rsidP="00BB0F29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поле 109 </w:t>
                          </w:r>
                          <w:r w:rsidRPr="00661F82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«Дата документа»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 xml:space="preserve"> 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указывается:</w:t>
                          </w:r>
                        </w:p>
                        <w:p w:rsidR="00B13E39" w:rsidRPr="00BB0F29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ТП - дата подписания декларации или расчета по взносам, а если они не сданы - "0"</w:t>
                          </w:r>
                        </w:p>
                        <w:p w:rsidR="00B13E39" w:rsidRPr="00BB0F29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ЗД - "0"</w:t>
                          </w:r>
                        </w:p>
                        <w:p w:rsidR="00B13E39" w:rsidRPr="00BB0F29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</w:t>
                          </w:r>
                          <w:proofErr w:type="gramStart"/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ТР</w:t>
                          </w:r>
                          <w:proofErr w:type="gramEnd"/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дата требования</w:t>
                          </w:r>
                        </w:p>
                        <w:p w:rsidR="00B13E39" w:rsidRPr="00661F82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661F82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АП - дата решения по проверке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0401060</w:t>
            </w:r>
          </w:p>
        </w:tc>
      </w:tr>
      <w:tr w:rsidR="00571EA9" w:rsidTr="007F0D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both"/>
              <w:rPr>
                <w:sz w:val="16"/>
                <w:szCs w:val="16"/>
              </w:rPr>
            </w:pPr>
          </w:p>
        </w:tc>
      </w:tr>
    </w:tbl>
    <w:p w:rsidR="00571EA9" w:rsidRDefault="00571EA9">
      <w:pPr>
        <w:rPr>
          <w:sz w:val="20"/>
          <w:szCs w:val="20"/>
        </w:rPr>
      </w:pPr>
    </w:p>
    <w:tbl>
      <w:tblPr>
        <w:tblW w:w="0" w:type="auto"/>
        <w:tblInd w:w="2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571EA9" w:rsidTr="007F0D89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tabs>
                <w:tab w:val="center" w:pos="411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ПЛАТЕЖНОЕ ПОРУЧЕНИЕ 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71EA9" w:rsidTr="007F0D89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71EA9" w:rsidRDefault="00571EA9">
      <w:pPr>
        <w:rPr>
          <w:sz w:val="16"/>
          <w:szCs w:val="16"/>
        </w:rPr>
      </w:pPr>
    </w:p>
    <w:tbl>
      <w:tblPr>
        <w:tblpPr w:leftFromText="180" w:rightFromText="180" w:vertAnchor="text" w:tblpX="2133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571EA9" w:rsidTr="007F0D89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EA9" w:rsidRDefault="00C957C6" w:rsidP="007F0D89">
            <w:pPr>
              <w:pStyle w:val="1"/>
              <w:keepNext/>
              <w:ind w:left="5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Пятьдесят три тысячи двести сорок девять рублей 00 копеек</w:t>
            </w:r>
          </w:p>
        </w:tc>
      </w:tr>
      <w:tr w:rsidR="00571EA9" w:rsidTr="007F0D89">
        <w:trPr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Pr="006B1BD0" w:rsidRDefault="00C957C6" w:rsidP="00B13E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 </w:t>
            </w:r>
            <w:r>
              <w:rPr>
                <w:sz w:val="20"/>
                <w:szCs w:val="20"/>
              </w:rPr>
              <w:t>22</w:t>
            </w:r>
            <w:r w:rsidR="00B13E39">
              <w:rPr>
                <w:sz w:val="20"/>
                <w:szCs w:val="20"/>
                <w:lang w:val="en-US"/>
              </w:rPr>
              <w:t>08</w:t>
            </w:r>
            <w:r w:rsidR="006B1BD0">
              <w:rPr>
                <w:sz w:val="20"/>
                <w:szCs w:val="20"/>
              </w:rPr>
              <w:t>000111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6B1BD0">
            <w:pPr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КПП  </w:t>
            </w:r>
            <w:r>
              <w:rPr>
                <w:sz w:val="20"/>
                <w:szCs w:val="20"/>
              </w:rPr>
              <w:t>22</w:t>
            </w:r>
            <w:r w:rsidR="006B1BD0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53249-00</w:t>
            </w: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A9" w:rsidRDefault="006B1BD0" w:rsidP="007F0D89">
            <w:pPr>
              <w:pStyle w:val="2"/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"Бизнес</w:t>
            </w:r>
            <w:r w:rsidR="00C957C6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A9" w:rsidRDefault="00571EA9" w:rsidP="007F0D89">
            <w:pPr>
              <w:jc w:val="center"/>
              <w:rPr>
                <w:sz w:val="20"/>
                <w:szCs w:val="20"/>
              </w:rPr>
            </w:pP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7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40702810390388912345</w:t>
            </w: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1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jc w:val="center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 банк ПАО Сбербанк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045004641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D63B53" w:rsidP="007F0D89">
            <w:pPr>
              <w:ind w:left="57"/>
              <w:rPr>
                <w:sz w:val="20"/>
                <w:szCs w:val="20"/>
              </w:rPr>
            </w:pPr>
            <w:r w:rsidRPr="00D63B53">
              <w:rPr>
                <w:sz w:val="20"/>
                <w:szCs w:val="20"/>
              </w:rPr>
              <w:t>30301810744000004400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Барнаул г. Барнаул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040173001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8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Pr="007570D9" w:rsidRDefault="00C957C6" w:rsidP="007F0D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  22</w:t>
            </w:r>
            <w:r w:rsidR="007570D9">
              <w:rPr>
                <w:sz w:val="20"/>
                <w:szCs w:val="20"/>
                <w:lang w:val="en-US"/>
              </w:rPr>
              <w:t>08012087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A9" w:rsidRPr="007570D9" w:rsidRDefault="00C957C6" w:rsidP="007F0D89">
            <w:pPr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КПП  22</w:t>
            </w:r>
            <w:r w:rsidR="007570D9">
              <w:rPr>
                <w:sz w:val="20"/>
                <w:szCs w:val="20"/>
                <w:lang w:val="en-US"/>
              </w:rPr>
              <w:t>0801001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40101810100000010001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570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УФК ПО АЛТАЙСКОМУ КРАЮ (</w:t>
            </w:r>
            <w:proofErr w:type="gramStart"/>
            <w:r>
              <w:rPr>
                <w:b/>
                <w:bCs/>
                <w:sz w:val="20"/>
                <w:szCs w:val="20"/>
              </w:rPr>
              <w:t>МРИ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ФНС России № </w:t>
            </w:r>
            <w:r w:rsidR="007570D9" w:rsidRPr="007570D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по Алтайскому краю)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jc w:val="center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18210202010061010160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B1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  <w:r w:rsidR="00B13E39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МС.05.2017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1EA9" w:rsidTr="007F0D8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60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задолжен...</w:t>
            </w:r>
            <w:proofErr w:type="gramEnd"/>
          </w:p>
        </w:tc>
      </w:tr>
      <w:tr w:rsidR="00571EA9" w:rsidTr="007F0D8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</w:tr>
    </w:tbl>
    <w:p w:rsidR="007F0D89" w:rsidRDefault="007F0D89" w:rsidP="007F0D89">
      <w:pPr>
        <w:widowControl/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2688" w:tblpY="649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C0888" w:rsidTr="00CC0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888" w:rsidRDefault="00CC0888" w:rsidP="00CC08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</w:tr>
      <w:tr w:rsidR="00CC0888" w:rsidTr="006137AB">
        <w:trPr>
          <w:trHeight w:val="3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0888" w:rsidRDefault="00CC0888" w:rsidP="00CC0888">
            <w:pPr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1EA9" w:rsidRDefault="007F0D89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C957C6">
        <w:rPr>
          <w:sz w:val="20"/>
          <w:szCs w:val="20"/>
        </w:rPr>
        <w:tab/>
        <w:t>Подписи</w:t>
      </w:r>
      <w:r w:rsidR="00C957C6">
        <w:rPr>
          <w:sz w:val="20"/>
          <w:szCs w:val="20"/>
        </w:rPr>
        <w:tab/>
        <w:t>Отметки банка</w:t>
      </w:r>
    </w:p>
    <w:p w:rsidR="002D3C4D" w:rsidRDefault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Default="002D3C4D" w:rsidP="002D3C4D">
      <w:pPr>
        <w:rPr>
          <w:sz w:val="20"/>
          <w:szCs w:val="20"/>
        </w:rPr>
      </w:pPr>
    </w:p>
    <w:p w:rsidR="002D3C4D" w:rsidRDefault="002D3C4D" w:rsidP="002D3C4D">
      <w:pPr>
        <w:jc w:val="right"/>
        <w:rPr>
          <w:sz w:val="20"/>
          <w:szCs w:val="20"/>
        </w:rPr>
        <w:sectPr w:rsidR="002D3C4D" w:rsidSect="00334E94">
          <w:pgSz w:w="16839" w:h="11907" w:orient="landscape" w:code="9"/>
          <w:pgMar w:top="238" w:right="289" w:bottom="244" w:left="567" w:header="720" w:footer="720" w:gutter="0"/>
          <w:cols w:space="720"/>
          <w:noEndnote/>
          <w:docGrid w:linePitch="326"/>
        </w:sectPr>
      </w:pPr>
    </w:p>
    <w:p w:rsidR="002D3C4D" w:rsidRDefault="002D3C4D" w:rsidP="002D3C4D">
      <w:pPr>
        <w:jc w:val="right"/>
        <w:rPr>
          <w:sz w:val="20"/>
          <w:szCs w:val="20"/>
        </w:rPr>
      </w:pPr>
    </w:p>
    <w:p w:rsidR="002D3C4D" w:rsidRPr="002D3C4D" w:rsidRDefault="002D3C4D" w:rsidP="002D3C4D">
      <w:pPr>
        <w:jc w:val="right"/>
        <w:rPr>
          <w:sz w:val="20"/>
          <w:szCs w:val="20"/>
        </w:rPr>
      </w:pPr>
    </w:p>
    <w:sectPr w:rsidR="002D3C4D" w:rsidRPr="002D3C4D" w:rsidSect="002D3C4D">
      <w:pgSz w:w="11907" w:h="16839" w:code="9"/>
      <w:pgMar w:top="851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39" w:rsidRDefault="00B13E39" w:rsidP="00334E94">
      <w:r>
        <w:separator/>
      </w:r>
    </w:p>
  </w:endnote>
  <w:endnote w:type="continuationSeparator" w:id="0">
    <w:p w:rsidR="00B13E39" w:rsidRDefault="00B13E39" w:rsidP="0033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39" w:rsidRDefault="00B13E39" w:rsidP="00334E94">
      <w:r>
        <w:separator/>
      </w:r>
    </w:p>
  </w:footnote>
  <w:footnote w:type="continuationSeparator" w:id="0">
    <w:p w:rsidR="00B13E39" w:rsidRDefault="00B13E39" w:rsidP="0033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355"/>
    <w:rsid w:val="000D3C44"/>
    <w:rsid w:val="00105647"/>
    <w:rsid w:val="001126A8"/>
    <w:rsid w:val="00121DF2"/>
    <w:rsid w:val="00130663"/>
    <w:rsid w:val="001F0E5B"/>
    <w:rsid w:val="00226CDB"/>
    <w:rsid w:val="00241A32"/>
    <w:rsid w:val="00255355"/>
    <w:rsid w:val="00291A8B"/>
    <w:rsid w:val="002D3C4D"/>
    <w:rsid w:val="002D5275"/>
    <w:rsid w:val="00334E94"/>
    <w:rsid w:val="00350600"/>
    <w:rsid w:val="004054C8"/>
    <w:rsid w:val="00417AAB"/>
    <w:rsid w:val="00424A7F"/>
    <w:rsid w:val="00485E9A"/>
    <w:rsid w:val="004E3606"/>
    <w:rsid w:val="00512410"/>
    <w:rsid w:val="00521167"/>
    <w:rsid w:val="00557A49"/>
    <w:rsid w:val="00571EA9"/>
    <w:rsid w:val="00583830"/>
    <w:rsid w:val="005D668E"/>
    <w:rsid w:val="005F749F"/>
    <w:rsid w:val="006137AB"/>
    <w:rsid w:val="00661F82"/>
    <w:rsid w:val="006B1BD0"/>
    <w:rsid w:val="006D6FFE"/>
    <w:rsid w:val="006E68FF"/>
    <w:rsid w:val="00700CDF"/>
    <w:rsid w:val="0072562C"/>
    <w:rsid w:val="007570D9"/>
    <w:rsid w:val="00763ADE"/>
    <w:rsid w:val="007768E5"/>
    <w:rsid w:val="007D6663"/>
    <w:rsid w:val="007F0D89"/>
    <w:rsid w:val="008E1B54"/>
    <w:rsid w:val="00917884"/>
    <w:rsid w:val="00955ED9"/>
    <w:rsid w:val="009907A0"/>
    <w:rsid w:val="009937F2"/>
    <w:rsid w:val="00A74ACB"/>
    <w:rsid w:val="00AA6E20"/>
    <w:rsid w:val="00B13E39"/>
    <w:rsid w:val="00B23208"/>
    <w:rsid w:val="00BB0F29"/>
    <w:rsid w:val="00BE0934"/>
    <w:rsid w:val="00C957C6"/>
    <w:rsid w:val="00CC0888"/>
    <w:rsid w:val="00CC111A"/>
    <w:rsid w:val="00CC26B9"/>
    <w:rsid w:val="00D63B53"/>
    <w:rsid w:val="00D751ED"/>
    <w:rsid w:val="00D82CFE"/>
    <w:rsid w:val="00DC1838"/>
    <w:rsid w:val="00DE4160"/>
    <w:rsid w:val="00E12DBE"/>
    <w:rsid w:val="00ED739F"/>
    <w:rsid w:val="00EE245C"/>
    <w:rsid w:val="00F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33"/>
        <o:r id="V:Rule4" type="callout" idref="#_x0000_s1034"/>
        <o:r id="V:Rule5" type="callout" idref="#_x0000_s1035"/>
        <o:r id="V:Rule6" type="callout" idref="#_x0000_s1036"/>
        <o:r id="V:Rule7" type="callout" idref="#_x0000_s1041"/>
        <o:r id="V:Rule8" type="callout" idref="#_x0000_s1042"/>
        <o:r id="V:Rule9" type="callout" idref="#_x0000_s1043"/>
        <o:r id="V:Rule10" type="callout" idref="#_x0000_s104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1EA9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71EA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E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48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CC08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4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E94"/>
    <w:rPr>
      <w:rFonts w:ascii="Times New Roman CYR" w:hAnsi="Times New Roman CYR" w:cs="Times New Roman CYR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34E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4E94"/>
    <w:rPr>
      <w:rFonts w:ascii="Times New Roman CYR" w:hAnsi="Times New Roman CYR" w:cs="Times New Roman CYR"/>
      <w:sz w:val="24"/>
      <w:szCs w:val="24"/>
    </w:rPr>
  </w:style>
  <w:style w:type="paragraph" w:styleId="aa">
    <w:name w:val="Normal (Web)"/>
    <w:basedOn w:val="a"/>
    <w:uiPriority w:val="99"/>
    <w:unhideWhenUsed/>
    <w:rsid w:val="002D3C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TitlePage">
    <w:name w:val="ConsPlusTitlePage"/>
    <w:rsid w:val="002D3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b">
    <w:name w:val="Table Grid"/>
    <w:basedOn w:val="a1"/>
    <w:uiPriority w:val="59"/>
    <w:rsid w:val="002D3C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addrno.do" TargetMode="External"/><Relationship Id="rId13" Type="http://schemas.openxmlformats.org/officeDocument/2006/relationships/hyperlink" Target="consultantplus://offline/ref=060DE08A6EA1920A2097838258FEE7E5DDB6FCE8C1DF420462CAE49FD2v0BE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0DE08A6EA1920A2097838258FEE7E5DDB7FFE8C5DB420462CAE49FD20E162D345988BD97EF319Bv4B8D" TargetMode="External"/><Relationship Id="rId17" Type="http://schemas.openxmlformats.org/officeDocument/2006/relationships/hyperlink" Target="consultantplus://offline/ref=060DE08A6EA1920A2097838258FEE7E5DDB6FCE8C1D0420462CAE49FD2v0B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0DE08A6EA1920A20979F8146FEE7E5DEBFFBEAC3DD420462CAE49FD20E162D345988BD97EF3498v4B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5BAA265D027970921751EEC4683ABB51088E638F75F490601BA29915bAwF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0DE08A6EA1920A20979F8146FEE7E5DEBFFBEAC3DD420462CAE49FD20E162D345988BD97EF3498v4B0D" TargetMode="External"/><Relationship Id="rId10" Type="http://schemas.openxmlformats.org/officeDocument/2006/relationships/hyperlink" Target="consultantplus://offline/ref=7D5BAA265D02797092174DEDDA683ABB5108846E8979F490601BA29915AFF5708C16166C55816B6Db0wA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9385E33392B54456AA55184B5575846961F477A48F1D40F65FFBF5E106E3335597F79CCEq1D9D" TargetMode="External"/><Relationship Id="rId14" Type="http://schemas.openxmlformats.org/officeDocument/2006/relationships/hyperlink" Target="consultantplus://offline/ref=060DE08A6EA1920A2097838258FEE7E5DEB3F8E7C3D0420462CAE49FD2v0B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5A7D5-EE37-4CBE-BEE6-57EBD838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2200-00-712</dc:creator>
  <cp:lastModifiedBy>2208-00-501</cp:lastModifiedBy>
  <cp:revision>2</cp:revision>
  <cp:lastPrinted>2017-10-18T07:56:00Z</cp:lastPrinted>
  <dcterms:created xsi:type="dcterms:W3CDTF">2017-10-18T07:56:00Z</dcterms:created>
  <dcterms:modified xsi:type="dcterms:W3CDTF">2017-10-18T07:56:00Z</dcterms:modified>
</cp:coreProperties>
</file>